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00DED36F" w:rsidR="00841AE4" w:rsidRPr="00FB0F83" w:rsidRDefault="004C3A75" w:rsidP="71AA3823">
      <w:pPr>
        <w:suppressAutoHyphens/>
        <w:jc w:val="center"/>
        <w:rPr>
          <w:rFonts w:ascii="Arial" w:eastAsia="Times New Roman" w:hAnsi="Arial" w:cs="Arial"/>
          <w:b/>
          <w:bCs/>
          <w:sz w:val="20"/>
          <w:szCs w:val="20"/>
        </w:rPr>
      </w:pPr>
      <w:r w:rsidRPr="003F72F1">
        <w:rPr>
          <w:rFonts w:ascii="Arial" w:hAnsi="Arial" w:cs="Arial"/>
          <w:b/>
        </w:rPr>
        <w:t>Výměna venkovního osvětlení areálů SÚSPk</w:t>
      </w:r>
      <w:r>
        <w:rPr>
          <w:rFonts w:ascii="Arial" w:hAnsi="Arial" w:cs="Arial"/>
          <w:b/>
        </w:rPr>
        <w:t xml:space="preserve"> – část 1: Ústecko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761DE"/>
    <w:rsid w:val="004A27E5"/>
    <w:rsid w:val="004C3A7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A5D2A"/>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25757"/>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881</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2025-09-23T10:33:00Z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